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2574" w14:textId="4AAC6F9C" w:rsidR="7A613C33" w:rsidRDefault="00A50EE2" w:rsidP="005571A1">
      <w:pPr>
        <w:spacing w:before="120" w:after="360"/>
        <w:jc w:val="center"/>
        <w:rPr>
          <w:b/>
          <w:bCs/>
          <w:color w:val="006E98"/>
          <w:sz w:val="28"/>
          <w:szCs w:val="28"/>
        </w:rPr>
      </w:pPr>
      <w:r>
        <w:rPr>
          <w:b/>
          <w:bCs/>
          <w:color w:val="006E98"/>
          <w:sz w:val="28"/>
          <w:szCs w:val="28"/>
        </w:rPr>
        <w:t>USDA</w:t>
      </w:r>
      <w:r w:rsidR="00FB72ED" w:rsidRPr="00FB72ED">
        <w:rPr>
          <w:b/>
          <w:bCs/>
          <w:color w:val="006E98"/>
          <w:sz w:val="28"/>
          <w:szCs w:val="28"/>
        </w:rPr>
        <w:t xml:space="preserve"> General Terms &amp; Conditions of Awards</w:t>
      </w:r>
    </w:p>
    <w:p w14:paraId="69649488" w14:textId="35EF0FEE" w:rsidR="00FB72ED" w:rsidRDefault="00FB72ED" w:rsidP="00FB72ED">
      <w:pPr>
        <w:rPr>
          <w:sz w:val="24"/>
          <w:szCs w:val="24"/>
        </w:rPr>
      </w:pPr>
      <w:r w:rsidRPr="00FB72ED">
        <w:rPr>
          <w:b/>
          <w:bCs/>
          <w:sz w:val="24"/>
          <w:szCs w:val="24"/>
        </w:rPr>
        <w:t>Background:</w:t>
      </w:r>
      <w:r>
        <w:rPr>
          <w:sz w:val="24"/>
          <w:szCs w:val="24"/>
        </w:rPr>
        <w:t xml:space="preserve"> On December 31, 2025</w:t>
      </w:r>
      <w:r w:rsidR="006A24AA">
        <w:rPr>
          <w:sz w:val="24"/>
          <w:szCs w:val="24"/>
        </w:rPr>
        <w:t>,</w:t>
      </w:r>
      <w:r>
        <w:rPr>
          <w:sz w:val="24"/>
          <w:szCs w:val="24"/>
        </w:rPr>
        <w:t xml:space="preserve"> the </w:t>
      </w:r>
      <w:r w:rsidR="00A50EE2">
        <w:rPr>
          <w:sz w:val="24"/>
          <w:szCs w:val="24"/>
        </w:rPr>
        <w:t>USDA</w:t>
      </w:r>
      <w:r>
        <w:rPr>
          <w:sz w:val="24"/>
          <w:szCs w:val="24"/>
        </w:rPr>
        <w:t xml:space="preserve"> released its first unified General Terms &amp; </w:t>
      </w:r>
      <w:r w:rsidR="009C5565">
        <w:rPr>
          <w:sz w:val="24"/>
          <w:szCs w:val="24"/>
        </w:rPr>
        <w:t>Conditions (</w:t>
      </w:r>
      <w:r>
        <w:rPr>
          <w:sz w:val="24"/>
          <w:szCs w:val="24"/>
        </w:rPr>
        <w:t xml:space="preserve">unified T&amp;C’) for Federal Awards.  The unified T&amp;C are intended to replace the patchwork of </w:t>
      </w:r>
      <w:r w:rsidR="00A50EE2">
        <w:rPr>
          <w:sz w:val="24"/>
          <w:szCs w:val="24"/>
        </w:rPr>
        <w:t>USDA</w:t>
      </w:r>
      <w:r>
        <w:rPr>
          <w:sz w:val="24"/>
          <w:szCs w:val="24"/>
        </w:rPr>
        <w:t xml:space="preserve"> agency and office specific T&amp;C, giving agencies 45 calendar days to adopt </w:t>
      </w:r>
      <w:r w:rsidR="00E41CD6">
        <w:rPr>
          <w:sz w:val="24"/>
          <w:szCs w:val="24"/>
        </w:rPr>
        <w:t>and</w:t>
      </w:r>
      <w:r>
        <w:rPr>
          <w:sz w:val="24"/>
          <w:szCs w:val="24"/>
        </w:rPr>
        <w:t xml:space="preserve"> implement the unified T&amp;C, with any deviations needing to be approved by the Office of the Chief Financial Office</w:t>
      </w:r>
      <w:r w:rsidR="00D46617">
        <w:rPr>
          <w:sz w:val="24"/>
          <w:szCs w:val="24"/>
        </w:rPr>
        <w:t>r</w:t>
      </w:r>
      <w:r>
        <w:rPr>
          <w:sz w:val="24"/>
          <w:szCs w:val="24"/>
        </w:rPr>
        <w:t xml:space="preserve"> (OCFO).</w:t>
      </w:r>
      <w:r w:rsidR="00A32F0E">
        <w:rPr>
          <w:sz w:val="24"/>
          <w:szCs w:val="24"/>
        </w:rPr>
        <w:t xml:space="preserve"> </w:t>
      </w:r>
      <w:r w:rsidR="00DC39D3">
        <w:rPr>
          <w:sz w:val="24"/>
          <w:szCs w:val="24"/>
        </w:rPr>
        <w:t xml:space="preserve"> The 2025 unified T&amp;C </w:t>
      </w:r>
      <w:r w:rsidR="009C5565">
        <w:rPr>
          <w:sz w:val="24"/>
          <w:szCs w:val="24"/>
        </w:rPr>
        <w:t>applies</w:t>
      </w:r>
      <w:r w:rsidR="00DC39D3">
        <w:rPr>
          <w:sz w:val="24"/>
          <w:szCs w:val="24"/>
        </w:rPr>
        <w:t xml:space="preserve"> to all new awards and </w:t>
      </w:r>
      <w:r w:rsidR="00E20D0E">
        <w:rPr>
          <w:sz w:val="24"/>
          <w:szCs w:val="24"/>
        </w:rPr>
        <w:t xml:space="preserve">to </w:t>
      </w:r>
      <w:r w:rsidR="00DC39D3">
        <w:rPr>
          <w:sz w:val="24"/>
          <w:szCs w:val="24"/>
        </w:rPr>
        <w:t>significant modifications</w:t>
      </w:r>
      <w:r w:rsidR="00E20D0E">
        <w:rPr>
          <w:sz w:val="24"/>
          <w:szCs w:val="24"/>
        </w:rPr>
        <w:t xml:space="preserve"> (as determined by OC</w:t>
      </w:r>
      <w:r w:rsidR="00893B63">
        <w:rPr>
          <w:sz w:val="24"/>
          <w:szCs w:val="24"/>
        </w:rPr>
        <w:t>F</w:t>
      </w:r>
      <w:r w:rsidR="00E20D0E">
        <w:rPr>
          <w:sz w:val="24"/>
          <w:szCs w:val="24"/>
        </w:rPr>
        <w:t>O)</w:t>
      </w:r>
      <w:r w:rsidR="00DC39D3">
        <w:rPr>
          <w:sz w:val="24"/>
          <w:szCs w:val="24"/>
        </w:rPr>
        <w:t xml:space="preserve"> </w:t>
      </w:r>
      <w:r w:rsidR="007F3434">
        <w:rPr>
          <w:sz w:val="24"/>
          <w:szCs w:val="24"/>
        </w:rPr>
        <w:t>to</w:t>
      </w:r>
      <w:r w:rsidR="00DC39D3">
        <w:rPr>
          <w:sz w:val="24"/>
          <w:szCs w:val="24"/>
        </w:rPr>
        <w:t xml:space="preserve"> existing awards</w:t>
      </w:r>
      <w:r w:rsidR="007F3434">
        <w:rPr>
          <w:sz w:val="24"/>
          <w:szCs w:val="24"/>
        </w:rPr>
        <w:t>, to the extent consistent with law.</w:t>
      </w:r>
    </w:p>
    <w:p w14:paraId="1AECDD3F" w14:textId="16A93E5F" w:rsidR="00FB72ED" w:rsidRDefault="00A50EE2" w:rsidP="00FB72ED">
      <w:pPr>
        <w:pStyle w:val="ListParagraph"/>
        <w:numPr>
          <w:ilvl w:val="0"/>
          <w:numId w:val="1"/>
        </w:numPr>
        <w:rPr>
          <w:sz w:val="24"/>
          <w:szCs w:val="24"/>
        </w:rPr>
      </w:pPr>
      <w:hyperlink r:id="rId10" w:history="1">
        <w:r>
          <w:rPr>
            <w:rStyle w:val="Hyperlink"/>
            <w:sz w:val="24"/>
            <w:szCs w:val="24"/>
          </w:rPr>
          <w:t>USDA</w:t>
        </w:r>
        <w:r w:rsidR="00FB72ED" w:rsidRPr="00A32F0E">
          <w:rPr>
            <w:rStyle w:val="Hyperlink"/>
            <w:sz w:val="24"/>
            <w:szCs w:val="24"/>
          </w:rPr>
          <w:t xml:space="preserve"> Press Release – December 31, 2025</w:t>
        </w:r>
      </w:hyperlink>
    </w:p>
    <w:p w14:paraId="6AC27DDC" w14:textId="22F13A74" w:rsidR="00FB72ED" w:rsidRDefault="00A50EE2" w:rsidP="00FB72ED">
      <w:pPr>
        <w:pStyle w:val="ListParagraph"/>
        <w:numPr>
          <w:ilvl w:val="0"/>
          <w:numId w:val="1"/>
        </w:numPr>
        <w:rPr>
          <w:sz w:val="24"/>
          <w:szCs w:val="24"/>
        </w:rPr>
      </w:pPr>
      <w:hyperlink r:id="rId11" w:history="1">
        <w:r>
          <w:rPr>
            <w:rStyle w:val="Hyperlink"/>
            <w:sz w:val="24"/>
            <w:szCs w:val="24"/>
          </w:rPr>
          <w:t>USDA</w:t>
        </w:r>
        <w:r w:rsidR="00FB72ED" w:rsidRPr="00A32F0E">
          <w:rPr>
            <w:rStyle w:val="Hyperlink"/>
            <w:sz w:val="24"/>
            <w:szCs w:val="24"/>
          </w:rPr>
          <w:t xml:space="preserve"> Secretary’s Memorandum – December 31, 2025</w:t>
        </w:r>
      </w:hyperlink>
    </w:p>
    <w:p w14:paraId="249B095A" w14:textId="3DC11806" w:rsidR="00FB72ED" w:rsidRDefault="00A50EE2" w:rsidP="00FB72ED">
      <w:pPr>
        <w:pStyle w:val="ListParagraph"/>
        <w:numPr>
          <w:ilvl w:val="0"/>
          <w:numId w:val="1"/>
        </w:numPr>
        <w:rPr>
          <w:sz w:val="24"/>
          <w:szCs w:val="24"/>
        </w:rPr>
      </w:pPr>
      <w:hyperlink r:id="rId12" w:history="1">
        <w:r>
          <w:rPr>
            <w:rStyle w:val="Hyperlink"/>
            <w:sz w:val="24"/>
            <w:szCs w:val="24"/>
          </w:rPr>
          <w:t>USDA</w:t>
        </w:r>
        <w:r w:rsidR="00FB72ED" w:rsidRPr="00A32F0E">
          <w:rPr>
            <w:rStyle w:val="Hyperlink"/>
            <w:sz w:val="24"/>
            <w:szCs w:val="24"/>
          </w:rPr>
          <w:t xml:space="preserve"> </w:t>
        </w:r>
        <w:r w:rsidR="00A32F0E" w:rsidRPr="00A32F0E">
          <w:rPr>
            <w:rStyle w:val="Hyperlink"/>
            <w:sz w:val="24"/>
            <w:szCs w:val="24"/>
          </w:rPr>
          <w:t>General Terms and Conditions for Federal Awards – December 31, 2025</w:t>
        </w:r>
      </w:hyperlink>
    </w:p>
    <w:p w14:paraId="04439425" w14:textId="0D443C67" w:rsidR="00A32F0E" w:rsidRDefault="00527F58" w:rsidP="005571A1">
      <w:pPr>
        <w:spacing w:before="240"/>
        <w:rPr>
          <w:sz w:val="24"/>
          <w:szCs w:val="24"/>
        </w:rPr>
      </w:pPr>
      <w:r>
        <w:rPr>
          <w:b/>
          <w:bCs/>
          <w:sz w:val="24"/>
          <w:szCs w:val="24"/>
        </w:rPr>
        <w:t>Executive Order-related Key</w:t>
      </w:r>
      <w:r w:rsidR="00A32F0E" w:rsidRPr="00A32F0E">
        <w:rPr>
          <w:b/>
          <w:bCs/>
          <w:sz w:val="24"/>
          <w:szCs w:val="24"/>
        </w:rPr>
        <w:t xml:space="preserve"> Terms &amp; Conditions:</w:t>
      </w:r>
      <w:r w:rsidR="00A32F0E">
        <w:rPr>
          <w:sz w:val="24"/>
          <w:szCs w:val="24"/>
        </w:rPr>
        <w:t xml:space="preserve"> Among other </w:t>
      </w:r>
      <w:r w:rsidR="003E3D38">
        <w:rPr>
          <w:sz w:val="24"/>
          <w:szCs w:val="24"/>
        </w:rPr>
        <w:t>terms</w:t>
      </w:r>
      <w:r w:rsidR="00A32F0E">
        <w:rPr>
          <w:sz w:val="24"/>
          <w:szCs w:val="24"/>
        </w:rPr>
        <w:t>, the unified T&amp;C formalize the agenc</w:t>
      </w:r>
      <w:r w:rsidR="00BC02BB">
        <w:rPr>
          <w:sz w:val="24"/>
          <w:szCs w:val="24"/>
        </w:rPr>
        <w:t>y’s</w:t>
      </w:r>
      <w:r w:rsidR="00A32F0E">
        <w:rPr>
          <w:sz w:val="24"/>
          <w:szCs w:val="24"/>
        </w:rPr>
        <w:t xml:space="preserve"> adoption and implementation of various Executive Orders and Secretary’s Memorandums that were issued in 2025</w:t>
      </w:r>
      <w:r w:rsidR="003E3D38">
        <w:rPr>
          <w:sz w:val="24"/>
          <w:szCs w:val="24"/>
        </w:rPr>
        <w:t>, including:</w:t>
      </w:r>
    </w:p>
    <w:p w14:paraId="73B2F17E" w14:textId="1D40A9E4" w:rsidR="003E3D38" w:rsidRDefault="003E3D38" w:rsidP="005571A1">
      <w:pPr>
        <w:pStyle w:val="ListParagraph"/>
        <w:numPr>
          <w:ilvl w:val="0"/>
          <w:numId w:val="2"/>
        </w:numPr>
        <w:spacing w:after="120"/>
        <w:contextualSpacing w:val="0"/>
        <w:rPr>
          <w:sz w:val="24"/>
          <w:szCs w:val="24"/>
        </w:rPr>
      </w:pPr>
      <w:r w:rsidRPr="003E3D38">
        <w:rPr>
          <w:b/>
          <w:bCs/>
          <w:sz w:val="24"/>
          <w:szCs w:val="24"/>
        </w:rPr>
        <w:t>National Security &amp; Unallowable Costs (Section 6.2)</w:t>
      </w:r>
      <w:r>
        <w:rPr>
          <w:sz w:val="24"/>
          <w:szCs w:val="24"/>
        </w:rPr>
        <w:t xml:space="preserve"> – Establishes unallowable costs due to national security concerns with a list maintained at </w:t>
      </w:r>
      <w:hyperlink r:id="rId13" w:history="1">
        <w:r w:rsidRPr="00C25298">
          <w:rPr>
            <w:rStyle w:val="Hyperlink"/>
            <w:sz w:val="24"/>
            <w:szCs w:val="24"/>
          </w:rPr>
          <w:t>https://www.usda.gov/about-usda/general-information/staff-offices/office-chief-financial-officer/federal-financial-assistance-policy/national-security-and-unallowable-costs</w:t>
        </w:r>
      </w:hyperlink>
      <w:r>
        <w:rPr>
          <w:sz w:val="24"/>
          <w:szCs w:val="24"/>
        </w:rPr>
        <w:t>, with a requirement for recipient monitoring of the list and agency communications.</w:t>
      </w:r>
    </w:p>
    <w:p w14:paraId="3D408620" w14:textId="0B9C40FB" w:rsidR="003E3D38" w:rsidRDefault="003E3D38" w:rsidP="005571A1">
      <w:pPr>
        <w:pStyle w:val="ListParagraph"/>
        <w:numPr>
          <w:ilvl w:val="0"/>
          <w:numId w:val="2"/>
        </w:numPr>
        <w:spacing w:after="120"/>
        <w:contextualSpacing w:val="0"/>
        <w:rPr>
          <w:sz w:val="24"/>
          <w:szCs w:val="24"/>
        </w:rPr>
      </w:pPr>
      <w:r>
        <w:rPr>
          <w:b/>
          <w:bCs/>
          <w:sz w:val="24"/>
          <w:szCs w:val="24"/>
        </w:rPr>
        <w:t>Foreign Ownership, Control or Influence (FOCI) by a Country of Concern</w:t>
      </w:r>
      <w:r w:rsidR="00D63D58">
        <w:rPr>
          <w:b/>
          <w:bCs/>
          <w:sz w:val="24"/>
          <w:szCs w:val="24"/>
        </w:rPr>
        <w:t xml:space="preserve"> (Section 10.7)</w:t>
      </w:r>
      <w:r>
        <w:rPr>
          <w:b/>
          <w:bCs/>
          <w:sz w:val="24"/>
          <w:szCs w:val="24"/>
        </w:rPr>
        <w:t xml:space="preserve"> </w:t>
      </w:r>
      <w:r w:rsidR="00D63D58">
        <w:rPr>
          <w:sz w:val="24"/>
          <w:szCs w:val="24"/>
        </w:rPr>
        <w:t>–</w:t>
      </w:r>
      <w:r>
        <w:rPr>
          <w:sz w:val="24"/>
          <w:szCs w:val="24"/>
        </w:rPr>
        <w:t xml:space="preserve"> </w:t>
      </w:r>
      <w:r w:rsidR="00D63D58">
        <w:rPr>
          <w:sz w:val="24"/>
          <w:szCs w:val="24"/>
        </w:rPr>
        <w:t xml:space="preserve">Establishes requirement that recipients certify that they are not, and will not, </w:t>
      </w:r>
      <w:proofErr w:type="gramStart"/>
      <w:r w:rsidR="00D63D58">
        <w:rPr>
          <w:sz w:val="24"/>
          <w:szCs w:val="24"/>
        </w:rPr>
        <w:t>enter into</w:t>
      </w:r>
      <w:proofErr w:type="gramEnd"/>
      <w:r w:rsidR="00D63D58">
        <w:rPr>
          <w:sz w:val="24"/>
          <w:szCs w:val="24"/>
        </w:rPr>
        <w:t xml:space="preserve"> any subawards, contract, or other agreements with any individual or entity that is subject to FOCI</w:t>
      </w:r>
      <w:r w:rsidR="007C3A18">
        <w:rPr>
          <w:sz w:val="24"/>
          <w:szCs w:val="24"/>
        </w:rPr>
        <w:t xml:space="preserve"> by a foreign country of concern or other foreign adversary.</w:t>
      </w:r>
      <w:r w:rsidR="00886624">
        <w:rPr>
          <w:sz w:val="24"/>
          <w:szCs w:val="24"/>
        </w:rPr>
        <w:t xml:space="preserve"> </w:t>
      </w:r>
      <w:r w:rsidR="00886624" w:rsidRPr="009D5DE1">
        <w:rPr>
          <w:i/>
          <w:iCs/>
          <w:sz w:val="24"/>
          <w:szCs w:val="24"/>
        </w:rPr>
        <w:t xml:space="preserve">[Note: In considering this term, institutions should refer to the definition of </w:t>
      </w:r>
      <w:r w:rsidR="00EB33EA" w:rsidRPr="009D5DE1">
        <w:rPr>
          <w:i/>
          <w:iCs/>
          <w:sz w:val="24"/>
          <w:szCs w:val="24"/>
        </w:rPr>
        <w:t xml:space="preserve">“U.S. citizen or entity subject to foreign ownership, control, or </w:t>
      </w:r>
      <w:r w:rsidR="001B73B1" w:rsidRPr="009D5DE1">
        <w:rPr>
          <w:i/>
          <w:iCs/>
          <w:sz w:val="24"/>
          <w:szCs w:val="24"/>
        </w:rPr>
        <w:t xml:space="preserve">influence (FOCI)” at the end of Section </w:t>
      </w:r>
      <w:r w:rsidR="009D5DE1" w:rsidRPr="009D5DE1">
        <w:rPr>
          <w:i/>
          <w:iCs/>
          <w:sz w:val="24"/>
          <w:szCs w:val="24"/>
        </w:rPr>
        <w:t>10.0.]</w:t>
      </w:r>
    </w:p>
    <w:p w14:paraId="501F96DE" w14:textId="2E85ABD5" w:rsidR="00D63D58" w:rsidRDefault="00D63D58" w:rsidP="005571A1">
      <w:pPr>
        <w:pStyle w:val="ListParagraph"/>
        <w:numPr>
          <w:ilvl w:val="0"/>
          <w:numId w:val="2"/>
        </w:numPr>
        <w:spacing w:after="120"/>
        <w:contextualSpacing w:val="0"/>
        <w:rPr>
          <w:sz w:val="24"/>
          <w:szCs w:val="24"/>
        </w:rPr>
      </w:pPr>
      <w:r>
        <w:rPr>
          <w:b/>
          <w:bCs/>
          <w:sz w:val="24"/>
          <w:szCs w:val="24"/>
        </w:rPr>
        <w:t>Disclosures (Section 10</w:t>
      </w:r>
      <w:r w:rsidRPr="00D63D58">
        <w:rPr>
          <w:b/>
          <w:bCs/>
          <w:sz w:val="24"/>
          <w:szCs w:val="24"/>
        </w:rPr>
        <w:t>.8)</w:t>
      </w:r>
      <w:r>
        <w:rPr>
          <w:b/>
          <w:bCs/>
          <w:sz w:val="24"/>
          <w:szCs w:val="24"/>
        </w:rPr>
        <w:t xml:space="preserve"> </w:t>
      </w:r>
      <w:r>
        <w:rPr>
          <w:sz w:val="24"/>
          <w:szCs w:val="24"/>
        </w:rPr>
        <w:t xml:space="preserve">– Establishes requirements for recipients of awards, and </w:t>
      </w:r>
      <w:r w:rsidR="007E36F3">
        <w:rPr>
          <w:sz w:val="24"/>
          <w:szCs w:val="24"/>
        </w:rPr>
        <w:t>covered individuals working on the award</w:t>
      </w:r>
      <w:r w:rsidR="00486E2B">
        <w:rPr>
          <w:sz w:val="24"/>
          <w:szCs w:val="24"/>
        </w:rPr>
        <w:t>,</w:t>
      </w:r>
      <w:r w:rsidR="007E36F3">
        <w:rPr>
          <w:sz w:val="24"/>
          <w:szCs w:val="24"/>
        </w:rPr>
        <w:t xml:space="preserve"> </w:t>
      </w:r>
      <w:r>
        <w:rPr>
          <w:sz w:val="24"/>
          <w:szCs w:val="24"/>
        </w:rPr>
        <w:t xml:space="preserve">to complete the Common Forms </w:t>
      </w:r>
      <w:r w:rsidR="00C0431A">
        <w:rPr>
          <w:sz w:val="24"/>
          <w:szCs w:val="24"/>
        </w:rPr>
        <w:t xml:space="preserve">for </w:t>
      </w:r>
      <w:proofErr w:type="spellStart"/>
      <w:r>
        <w:rPr>
          <w:sz w:val="24"/>
          <w:szCs w:val="24"/>
        </w:rPr>
        <w:t>Biosketch</w:t>
      </w:r>
      <w:proofErr w:type="spellEnd"/>
      <w:r>
        <w:rPr>
          <w:sz w:val="24"/>
          <w:szCs w:val="24"/>
        </w:rPr>
        <w:t xml:space="preserve"> and for Current and Pending (Other) Support to submit the forms at the time of application and no less than annually.</w:t>
      </w:r>
    </w:p>
    <w:p w14:paraId="0C534897" w14:textId="4C36412A" w:rsidR="00D63D58" w:rsidRDefault="00D63D58" w:rsidP="005571A1">
      <w:pPr>
        <w:pStyle w:val="ListParagraph"/>
        <w:numPr>
          <w:ilvl w:val="0"/>
          <w:numId w:val="2"/>
        </w:numPr>
        <w:spacing w:after="120"/>
        <w:contextualSpacing w:val="0"/>
        <w:rPr>
          <w:sz w:val="24"/>
          <w:szCs w:val="24"/>
        </w:rPr>
      </w:pPr>
      <w:r>
        <w:rPr>
          <w:b/>
          <w:bCs/>
          <w:sz w:val="24"/>
          <w:szCs w:val="24"/>
        </w:rPr>
        <w:t>Malign Foreign Talent Recruitment Program (MFTRP)</w:t>
      </w:r>
      <w:r w:rsidR="00C0431A">
        <w:rPr>
          <w:b/>
          <w:bCs/>
          <w:sz w:val="24"/>
          <w:szCs w:val="24"/>
        </w:rPr>
        <w:t xml:space="preserve"> with 10-year look back</w:t>
      </w:r>
      <w:r>
        <w:rPr>
          <w:b/>
          <w:bCs/>
          <w:sz w:val="24"/>
          <w:szCs w:val="24"/>
        </w:rPr>
        <w:t xml:space="preserve"> (Section 10</w:t>
      </w:r>
      <w:r w:rsidRPr="00D63D58">
        <w:rPr>
          <w:b/>
          <w:bCs/>
          <w:sz w:val="24"/>
          <w:szCs w:val="24"/>
        </w:rPr>
        <w:t>.9)</w:t>
      </w:r>
      <w:r>
        <w:rPr>
          <w:sz w:val="24"/>
          <w:szCs w:val="24"/>
        </w:rPr>
        <w:t xml:space="preserve"> </w:t>
      </w:r>
      <w:r w:rsidR="00C0431A">
        <w:rPr>
          <w:sz w:val="24"/>
          <w:szCs w:val="24"/>
        </w:rPr>
        <w:t>–</w:t>
      </w:r>
      <w:r>
        <w:rPr>
          <w:sz w:val="24"/>
          <w:szCs w:val="24"/>
        </w:rPr>
        <w:t xml:space="preserve"> </w:t>
      </w:r>
      <w:r w:rsidR="00C0431A">
        <w:rPr>
          <w:sz w:val="24"/>
          <w:szCs w:val="24"/>
        </w:rPr>
        <w:t xml:space="preserve">Establishes requirement for recipients of awards to certify that they, and any </w:t>
      </w:r>
      <w:r w:rsidR="00D5607A">
        <w:rPr>
          <w:sz w:val="24"/>
          <w:szCs w:val="24"/>
        </w:rPr>
        <w:t>covered individuals working</w:t>
      </w:r>
      <w:r w:rsidR="00C0431A">
        <w:rPr>
          <w:sz w:val="24"/>
          <w:szCs w:val="24"/>
        </w:rPr>
        <w:t xml:space="preserve"> on the </w:t>
      </w:r>
      <w:r w:rsidR="00D46617">
        <w:rPr>
          <w:sz w:val="24"/>
          <w:szCs w:val="24"/>
        </w:rPr>
        <w:t>a</w:t>
      </w:r>
      <w:r w:rsidR="00C0431A">
        <w:rPr>
          <w:sz w:val="24"/>
          <w:szCs w:val="24"/>
        </w:rPr>
        <w:t>ward</w:t>
      </w:r>
      <w:r w:rsidR="00BA7AFD">
        <w:rPr>
          <w:sz w:val="24"/>
          <w:szCs w:val="24"/>
        </w:rPr>
        <w:t xml:space="preserve"> </w:t>
      </w:r>
      <w:r w:rsidR="00C0431A">
        <w:rPr>
          <w:sz w:val="24"/>
          <w:szCs w:val="24"/>
        </w:rPr>
        <w:t xml:space="preserve">are not participating in, and have not within the past 10 years, any MFTRP on the Common Forms for </w:t>
      </w:r>
      <w:proofErr w:type="spellStart"/>
      <w:r w:rsidR="00C0431A">
        <w:rPr>
          <w:sz w:val="24"/>
          <w:szCs w:val="24"/>
        </w:rPr>
        <w:t>Biosketch</w:t>
      </w:r>
      <w:proofErr w:type="spellEnd"/>
      <w:r w:rsidR="00C0431A">
        <w:rPr>
          <w:sz w:val="24"/>
          <w:szCs w:val="24"/>
        </w:rPr>
        <w:t xml:space="preserve"> and for Current and Pending (Other) Support and to recertify annually.</w:t>
      </w:r>
    </w:p>
    <w:p w14:paraId="7B500BBA" w14:textId="5220E1D5" w:rsidR="00C0431A" w:rsidRDefault="00C0431A" w:rsidP="005571A1">
      <w:pPr>
        <w:pStyle w:val="ListParagraph"/>
        <w:numPr>
          <w:ilvl w:val="0"/>
          <w:numId w:val="2"/>
        </w:numPr>
        <w:spacing w:after="120"/>
        <w:contextualSpacing w:val="0"/>
        <w:rPr>
          <w:sz w:val="24"/>
          <w:szCs w:val="24"/>
        </w:rPr>
      </w:pPr>
      <w:r>
        <w:rPr>
          <w:b/>
          <w:bCs/>
          <w:sz w:val="24"/>
          <w:szCs w:val="24"/>
        </w:rPr>
        <w:lastRenderedPageBreak/>
        <w:t xml:space="preserve">Consequences for Violation of Disclosure Requirements </w:t>
      </w:r>
      <w:r w:rsidR="00BC02BB">
        <w:rPr>
          <w:b/>
          <w:bCs/>
          <w:sz w:val="24"/>
          <w:szCs w:val="24"/>
        </w:rPr>
        <w:t xml:space="preserve">(Section 10.10) </w:t>
      </w:r>
      <w:r>
        <w:rPr>
          <w:sz w:val="24"/>
          <w:szCs w:val="24"/>
        </w:rPr>
        <w:t xml:space="preserve">– Establishes that violations of disclosure requirements may lead to criminal, civil, and/or administrative consequences. </w:t>
      </w:r>
    </w:p>
    <w:p w14:paraId="4CD0ECE7" w14:textId="52995CD6" w:rsidR="00DC39D3" w:rsidRDefault="00C0431A" w:rsidP="003E3D38">
      <w:pPr>
        <w:pStyle w:val="ListParagraph"/>
        <w:numPr>
          <w:ilvl w:val="0"/>
          <w:numId w:val="2"/>
        </w:numPr>
        <w:rPr>
          <w:sz w:val="24"/>
          <w:szCs w:val="24"/>
        </w:rPr>
      </w:pPr>
      <w:r>
        <w:rPr>
          <w:b/>
          <w:bCs/>
          <w:sz w:val="24"/>
          <w:szCs w:val="24"/>
        </w:rPr>
        <w:t>Dual Use Research of Concern (DURC) and Dangerous Gain</w:t>
      </w:r>
      <w:r w:rsidR="001A1FA0">
        <w:rPr>
          <w:b/>
          <w:bCs/>
          <w:sz w:val="24"/>
          <w:szCs w:val="24"/>
        </w:rPr>
        <w:t>-</w:t>
      </w:r>
      <w:r>
        <w:rPr>
          <w:b/>
          <w:bCs/>
          <w:sz w:val="24"/>
          <w:szCs w:val="24"/>
        </w:rPr>
        <w:t>of</w:t>
      </w:r>
      <w:r w:rsidR="001A1FA0">
        <w:rPr>
          <w:b/>
          <w:bCs/>
          <w:sz w:val="24"/>
          <w:szCs w:val="24"/>
        </w:rPr>
        <w:t>-</w:t>
      </w:r>
      <w:r>
        <w:rPr>
          <w:b/>
          <w:bCs/>
          <w:sz w:val="24"/>
          <w:szCs w:val="24"/>
        </w:rPr>
        <w:t>Function</w:t>
      </w:r>
      <w:r w:rsidR="00BC02BB">
        <w:rPr>
          <w:b/>
          <w:bCs/>
          <w:sz w:val="24"/>
          <w:szCs w:val="24"/>
        </w:rPr>
        <w:t xml:space="preserve"> (Section 10.11)</w:t>
      </w:r>
      <w:r>
        <w:rPr>
          <w:b/>
          <w:bCs/>
          <w:sz w:val="24"/>
          <w:szCs w:val="24"/>
        </w:rPr>
        <w:t xml:space="preserve"> </w:t>
      </w:r>
      <w:r>
        <w:rPr>
          <w:sz w:val="24"/>
          <w:szCs w:val="24"/>
        </w:rPr>
        <w:t>– Establishes requirements for</w:t>
      </w:r>
      <w:r w:rsidR="00DC39D3">
        <w:rPr>
          <w:sz w:val="24"/>
          <w:szCs w:val="24"/>
        </w:rPr>
        <w:t>:</w:t>
      </w:r>
      <w:r>
        <w:rPr>
          <w:sz w:val="24"/>
          <w:szCs w:val="24"/>
        </w:rPr>
        <w:t xml:space="preserve"> </w:t>
      </w:r>
    </w:p>
    <w:p w14:paraId="62153C43" w14:textId="29DEFCB2" w:rsidR="00DC39D3" w:rsidRDefault="000D2193" w:rsidP="00DC39D3">
      <w:pPr>
        <w:pStyle w:val="ListParagraph"/>
        <w:numPr>
          <w:ilvl w:val="1"/>
          <w:numId w:val="2"/>
        </w:numPr>
        <w:rPr>
          <w:sz w:val="24"/>
          <w:szCs w:val="24"/>
        </w:rPr>
      </w:pPr>
      <w:r>
        <w:rPr>
          <w:sz w:val="24"/>
          <w:szCs w:val="24"/>
        </w:rPr>
        <w:t xml:space="preserve">compliance with the </w:t>
      </w:r>
      <w:hyperlink r:id="rId14" w:history="1">
        <w:r w:rsidRPr="000D2193">
          <w:rPr>
            <w:rStyle w:val="Hyperlink"/>
            <w:sz w:val="24"/>
            <w:szCs w:val="24"/>
          </w:rPr>
          <w:t>U.S. Government Policy for Institutional Oversight of Life Sciences Dual Use Research of Concern</w:t>
        </w:r>
      </w:hyperlink>
      <w:r w:rsidRPr="000D2193">
        <w:rPr>
          <w:sz w:val="24"/>
          <w:szCs w:val="24"/>
        </w:rPr>
        <w:t xml:space="preserve"> (DURC</w:t>
      </w:r>
      <w:r>
        <w:rPr>
          <w:sz w:val="24"/>
          <w:szCs w:val="24"/>
        </w:rPr>
        <w:t xml:space="preserve"> – 2014) and the </w:t>
      </w:r>
      <w:hyperlink r:id="rId15" w:history="1">
        <w:r w:rsidRPr="000D2193">
          <w:rPr>
            <w:rStyle w:val="Hyperlink"/>
            <w:sz w:val="24"/>
            <w:szCs w:val="24"/>
          </w:rPr>
          <w:t>DHHS Framework for Guiding Decisions about Proposed Research Involving Enhanced Potential Pandemic Pathogens</w:t>
        </w:r>
      </w:hyperlink>
      <w:r w:rsidRPr="000D2193">
        <w:rPr>
          <w:sz w:val="24"/>
          <w:szCs w:val="24"/>
        </w:rPr>
        <w:t xml:space="preserve"> (HHS P3CO Framework</w:t>
      </w:r>
      <w:r>
        <w:rPr>
          <w:sz w:val="24"/>
          <w:szCs w:val="24"/>
        </w:rPr>
        <w:t xml:space="preserve"> – 2017)</w:t>
      </w:r>
      <w:r w:rsidR="00DC39D3">
        <w:rPr>
          <w:sz w:val="24"/>
          <w:szCs w:val="24"/>
        </w:rPr>
        <w:t>.</w:t>
      </w:r>
    </w:p>
    <w:p w14:paraId="272AC01C" w14:textId="5CBFCF12" w:rsidR="00DC39D3" w:rsidRDefault="000D2193" w:rsidP="00DC39D3">
      <w:pPr>
        <w:pStyle w:val="ListParagraph"/>
        <w:numPr>
          <w:ilvl w:val="1"/>
          <w:numId w:val="2"/>
        </w:numPr>
        <w:rPr>
          <w:sz w:val="24"/>
          <w:szCs w:val="24"/>
        </w:rPr>
      </w:pPr>
      <w:r>
        <w:rPr>
          <w:sz w:val="24"/>
          <w:szCs w:val="24"/>
        </w:rPr>
        <w:t xml:space="preserve">recipient agreement to ensure that </w:t>
      </w:r>
      <w:r w:rsidR="00A50EE2">
        <w:rPr>
          <w:sz w:val="24"/>
          <w:szCs w:val="24"/>
        </w:rPr>
        <w:t>USDA</w:t>
      </w:r>
      <w:r>
        <w:rPr>
          <w:sz w:val="24"/>
          <w:szCs w:val="24"/>
        </w:rPr>
        <w:t xml:space="preserve"> awards do not support any research that </w:t>
      </w:r>
      <w:r w:rsidR="00A50EE2">
        <w:rPr>
          <w:sz w:val="24"/>
          <w:szCs w:val="24"/>
        </w:rPr>
        <w:t>USDA</w:t>
      </w:r>
      <w:r>
        <w:rPr>
          <w:sz w:val="24"/>
          <w:szCs w:val="24"/>
        </w:rPr>
        <w:t xml:space="preserve"> will not fund (with three specified examples)</w:t>
      </w:r>
      <w:r w:rsidR="00DC39D3">
        <w:rPr>
          <w:sz w:val="24"/>
          <w:szCs w:val="24"/>
        </w:rPr>
        <w:t>.</w:t>
      </w:r>
    </w:p>
    <w:p w14:paraId="6679B5AD" w14:textId="0457DB36" w:rsidR="00DC39D3" w:rsidRDefault="000D2193" w:rsidP="00DC39D3">
      <w:pPr>
        <w:pStyle w:val="ListParagraph"/>
        <w:numPr>
          <w:ilvl w:val="1"/>
          <w:numId w:val="2"/>
        </w:numPr>
        <w:rPr>
          <w:sz w:val="24"/>
          <w:szCs w:val="24"/>
        </w:rPr>
      </w:pPr>
      <w:r>
        <w:rPr>
          <w:sz w:val="24"/>
          <w:szCs w:val="24"/>
        </w:rPr>
        <w:t>recipients to have an Institutional Biosafety Committee (IBC) or other Institutional Review Entity (IRE) who are responsible for the review of research involving agents covered by the Policy</w:t>
      </w:r>
      <w:r w:rsidR="00DC39D3">
        <w:rPr>
          <w:sz w:val="24"/>
          <w:szCs w:val="24"/>
        </w:rPr>
        <w:t>.</w:t>
      </w:r>
    </w:p>
    <w:p w14:paraId="495F764D" w14:textId="1E6B989C" w:rsidR="00DC39D3" w:rsidRDefault="000D2193" w:rsidP="00DC39D3">
      <w:pPr>
        <w:pStyle w:val="ListParagraph"/>
        <w:numPr>
          <w:ilvl w:val="1"/>
          <w:numId w:val="2"/>
        </w:numPr>
        <w:rPr>
          <w:sz w:val="24"/>
          <w:szCs w:val="24"/>
        </w:rPr>
      </w:pPr>
      <w:r>
        <w:rPr>
          <w:sz w:val="24"/>
          <w:szCs w:val="24"/>
        </w:rPr>
        <w:t xml:space="preserve">registration of Policy-defined select agents or other potential pandemic pathogens with the CDC or </w:t>
      </w:r>
      <w:r w:rsidR="00A50EE2">
        <w:rPr>
          <w:sz w:val="24"/>
          <w:szCs w:val="24"/>
        </w:rPr>
        <w:t>USDA</w:t>
      </w:r>
    </w:p>
    <w:p w14:paraId="6C5F1211" w14:textId="0F3398D0" w:rsidR="00DC39D3" w:rsidRDefault="000D2193" w:rsidP="00DC39D3">
      <w:pPr>
        <w:pStyle w:val="ListParagraph"/>
        <w:numPr>
          <w:ilvl w:val="1"/>
          <w:numId w:val="2"/>
        </w:numPr>
        <w:rPr>
          <w:sz w:val="24"/>
          <w:szCs w:val="24"/>
        </w:rPr>
      </w:pPr>
      <w:r>
        <w:rPr>
          <w:sz w:val="24"/>
          <w:szCs w:val="24"/>
        </w:rPr>
        <w:t xml:space="preserve">special award conditions when </w:t>
      </w:r>
      <w:r w:rsidR="00A50EE2">
        <w:rPr>
          <w:sz w:val="24"/>
          <w:szCs w:val="24"/>
        </w:rPr>
        <w:t>USDA</w:t>
      </w:r>
      <w:r>
        <w:rPr>
          <w:sz w:val="24"/>
          <w:szCs w:val="24"/>
        </w:rPr>
        <w:t xml:space="preserve"> funds research that involves the creation, transfer, or use of potential pandemic pathogens</w:t>
      </w:r>
      <w:r w:rsidR="00DC39D3">
        <w:rPr>
          <w:sz w:val="24"/>
          <w:szCs w:val="24"/>
        </w:rPr>
        <w:t>.</w:t>
      </w:r>
      <w:r w:rsidR="00BC02BB">
        <w:rPr>
          <w:sz w:val="24"/>
          <w:szCs w:val="24"/>
        </w:rPr>
        <w:t xml:space="preserve"> </w:t>
      </w:r>
    </w:p>
    <w:p w14:paraId="7538AB67" w14:textId="7BFB43CA" w:rsidR="00DC39D3" w:rsidRDefault="00BC02BB" w:rsidP="00DC39D3">
      <w:pPr>
        <w:pStyle w:val="ListParagraph"/>
        <w:numPr>
          <w:ilvl w:val="1"/>
          <w:numId w:val="2"/>
        </w:numPr>
        <w:rPr>
          <w:sz w:val="24"/>
          <w:szCs w:val="24"/>
        </w:rPr>
      </w:pPr>
      <w:r>
        <w:rPr>
          <w:sz w:val="24"/>
          <w:szCs w:val="24"/>
        </w:rPr>
        <w:t>recipient establishment of an Institutional Contact for Dual Use Research (ICDUR)</w:t>
      </w:r>
      <w:r w:rsidR="00115F19">
        <w:rPr>
          <w:sz w:val="24"/>
          <w:szCs w:val="24"/>
        </w:rPr>
        <w:t xml:space="preserve"> </w:t>
      </w:r>
      <w:r>
        <w:rPr>
          <w:sz w:val="24"/>
          <w:szCs w:val="24"/>
        </w:rPr>
        <w:t>to serve as an internal resource and agency liaison</w:t>
      </w:r>
      <w:r w:rsidR="00DC39D3">
        <w:rPr>
          <w:sz w:val="24"/>
          <w:szCs w:val="24"/>
        </w:rPr>
        <w:t>.</w:t>
      </w:r>
      <w:r>
        <w:rPr>
          <w:sz w:val="24"/>
          <w:szCs w:val="24"/>
        </w:rPr>
        <w:t xml:space="preserve"> </w:t>
      </w:r>
    </w:p>
    <w:p w14:paraId="32B83FA9" w14:textId="77777777" w:rsidR="00225192" w:rsidRDefault="00BC02BB" w:rsidP="00DC39D3">
      <w:pPr>
        <w:pStyle w:val="ListParagraph"/>
        <w:numPr>
          <w:ilvl w:val="1"/>
          <w:numId w:val="2"/>
        </w:numPr>
        <w:rPr>
          <w:sz w:val="24"/>
          <w:szCs w:val="24"/>
        </w:rPr>
      </w:pPr>
      <w:r>
        <w:rPr>
          <w:sz w:val="24"/>
          <w:szCs w:val="24"/>
        </w:rPr>
        <w:t xml:space="preserve">record-keeping. </w:t>
      </w:r>
    </w:p>
    <w:p w14:paraId="1FBB559E" w14:textId="16A77ECD" w:rsidR="00C0431A" w:rsidRPr="00225192" w:rsidRDefault="00BC02BB" w:rsidP="008E1D5D">
      <w:pPr>
        <w:spacing w:after="120"/>
        <w:ind w:left="720"/>
        <w:rPr>
          <w:sz w:val="24"/>
          <w:szCs w:val="24"/>
        </w:rPr>
      </w:pPr>
      <w:r w:rsidRPr="00225192">
        <w:rPr>
          <w:sz w:val="24"/>
          <w:szCs w:val="24"/>
        </w:rPr>
        <w:t>Section 10.11 goes on to define “Dangerous gain-of-function research”, “Dual use research of concern”, “Institutional Contact for Dual Use Research”, and “Life sciences.”</w:t>
      </w:r>
    </w:p>
    <w:p w14:paraId="70871BBD" w14:textId="6222A0E4" w:rsidR="00BC02BB" w:rsidRDefault="00BC02BB" w:rsidP="008E1D5D">
      <w:pPr>
        <w:pStyle w:val="ListParagraph"/>
        <w:numPr>
          <w:ilvl w:val="0"/>
          <w:numId w:val="2"/>
        </w:numPr>
        <w:spacing w:after="120"/>
        <w:contextualSpacing w:val="0"/>
        <w:rPr>
          <w:sz w:val="24"/>
          <w:szCs w:val="24"/>
        </w:rPr>
      </w:pPr>
      <w:r>
        <w:rPr>
          <w:b/>
          <w:bCs/>
          <w:sz w:val="24"/>
          <w:szCs w:val="24"/>
        </w:rPr>
        <w:t xml:space="preserve">Civil Rights/Diversity Equity and Inclusion (DEI)/Sex vs Gender Ideology funding restrictions (Sections 12.2, 13.5, and 13.6) – </w:t>
      </w:r>
      <w:r w:rsidR="006F127A">
        <w:rPr>
          <w:sz w:val="24"/>
          <w:szCs w:val="24"/>
        </w:rPr>
        <w:t>referencing</w:t>
      </w:r>
      <w:r>
        <w:rPr>
          <w:sz w:val="24"/>
          <w:szCs w:val="24"/>
        </w:rPr>
        <w:t xml:space="preserve"> Executive Orders (EOs) </w:t>
      </w:r>
      <w:r w:rsidR="006F127A">
        <w:rPr>
          <w:sz w:val="24"/>
          <w:szCs w:val="24"/>
        </w:rPr>
        <w:t>and Federal anti-discrimination laws, regulations, and policies that recipients must certify compliance with for the duration of the award.</w:t>
      </w:r>
    </w:p>
    <w:p w14:paraId="72E62882" w14:textId="13BC8D7F" w:rsidR="006F127A" w:rsidRDefault="006F127A" w:rsidP="003E3D38">
      <w:pPr>
        <w:pStyle w:val="ListParagraph"/>
        <w:numPr>
          <w:ilvl w:val="0"/>
          <w:numId w:val="2"/>
        </w:numPr>
        <w:rPr>
          <w:sz w:val="24"/>
          <w:szCs w:val="24"/>
        </w:rPr>
      </w:pPr>
      <w:r>
        <w:rPr>
          <w:b/>
          <w:bCs/>
          <w:sz w:val="24"/>
          <w:szCs w:val="24"/>
        </w:rPr>
        <w:t>Compliance with Executive Orders and Other Presidential Actions (Section 13</w:t>
      </w:r>
      <w:r w:rsidRPr="006F127A">
        <w:rPr>
          <w:b/>
          <w:bCs/>
          <w:sz w:val="24"/>
          <w:szCs w:val="24"/>
        </w:rPr>
        <w:t>.0)</w:t>
      </w:r>
      <w:r>
        <w:rPr>
          <w:b/>
          <w:bCs/>
          <w:sz w:val="24"/>
          <w:szCs w:val="24"/>
        </w:rPr>
        <w:t xml:space="preserve"> – </w:t>
      </w:r>
      <w:r>
        <w:rPr>
          <w:sz w:val="24"/>
          <w:szCs w:val="24"/>
        </w:rPr>
        <w:t xml:space="preserve">establishes requirements for the </w:t>
      </w:r>
      <w:r w:rsidR="00A50EE2">
        <w:rPr>
          <w:sz w:val="24"/>
          <w:szCs w:val="24"/>
        </w:rPr>
        <w:t>USDA</w:t>
      </w:r>
      <w:r>
        <w:rPr>
          <w:sz w:val="24"/>
          <w:szCs w:val="24"/>
        </w:rPr>
        <w:t xml:space="preserve"> and recipient organizations </w:t>
      </w:r>
      <w:r w:rsidR="00E32D95">
        <w:rPr>
          <w:sz w:val="24"/>
          <w:szCs w:val="24"/>
        </w:rPr>
        <w:t>to comply</w:t>
      </w:r>
      <w:r>
        <w:rPr>
          <w:sz w:val="24"/>
          <w:szCs w:val="24"/>
        </w:rPr>
        <w:t xml:space="preserve"> with EOs and other Presidential Actions, listing 12 specific EOs that are “expressly incorporated” into </w:t>
      </w:r>
      <w:r w:rsidR="00A50EE2">
        <w:rPr>
          <w:sz w:val="24"/>
          <w:szCs w:val="24"/>
        </w:rPr>
        <w:t>USDA</w:t>
      </w:r>
      <w:r>
        <w:rPr>
          <w:sz w:val="24"/>
          <w:szCs w:val="24"/>
        </w:rPr>
        <w:t xml:space="preserve"> awards.</w:t>
      </w:r>
    </w:p>
    <w:p w14:paraId="21D15118" w14:textId="1E5551FD" w:rsidR="00527F58" w:rsidRDefault="00527F58" w:rsidP="005571A1">
      <w:pPr>
        <w:spacing w:before="240"/>
        <w:rPr>
          <w:sz w:val="24"/>
          <w:szCs w:val="24"/>
        </w:rPr>
      </w:pPr>
      <w:r w:rsidRPr="00527F58">
        <w:rPr>
          <w:b/>
          <w:bCs/>
          <w:sz w:val="24"/>
          <w:szCs w:val="24"/>
        </w:rPr>
        <w:t>Other New or Significantly Modified Terms &amp; Conditions</w:t>
      </w:r>
      <w:r>
        <w:rPr>
          <w:b/>
          <w:bCs/>
          <w:sz w:val="24"/>
          <w:szCs w:val="24"/>
        </w:rPr>
        <w:t xml:space="preserve"> – </w:t>
      </w:r>
      <w:r>
        <w:rPr>
          <w:sz w:val="24"/>
          <w:szCs w:val="24"/>
        </w:rPr>
        <w:t>the unified T&amp;C also incorporates several provisions that were either previously unaddressed or that have been significantly modified from prior award requirements, including:</w:t>
      </w:r>
    </w:p>
    <w:p w14:paraId="6CE22D06" w14:textId="0E734B99" w:rsidR="003532C3" w:rsidRPr="00DC7FA6" w:rsidRDefault="003532C3" w:rsidP="004F0479">
      <w:pPr>
        <w:pStyle w:val="ListParagraph"/>
        <w:numPr>
          <w:ilvl w:val="0"/>
          <w:numId w:val="3"/>
        </w:numPr>
        <w:spacing w:after="120"/>
        <w:contextualSpacing w:val="0"/>
        <w:rPr>
          <w:sz w:val="24"/>
          <w:szCs w:val="24"/>
        </w:rPr>
      </w:pPr>
      <w:r>
        <w:rPr>
          <w:b/>
          <w:bCs/>
          <w:sz w:val="24"/>
          <w:szCs w:val="24"/>
        </w:rPr>
        <w:t>Conflict of Interest (Section 1.7)</w:t>
      </w:r>
      <w:r w:rsidR="002B733D">
        <w:rPr>
          <w:b/>
          <w:bCs/>
          <w:sz w:val="24"/>
          <w:szCs w:val="24"/>
        </w:rPr>
        <w:t xml:space="preserve"> - </w:t>
      </w:r>
      <w:r w:rsidR="00E839D2" w:rsidRPr="00E839D2">
        <w:rPr>
          <w:sz w:val="24"/>
          <w:szCs w:val="24"/>
        </w:rPr>
        <w:t>establishes requirements for the disclosure and resolution of any conflict of interest</w:t>
      </w:r>
      <w:r w:rsidR="00927C35">
        <w:rPr>
          <w:sz w:val="24"/>
          <w:szCs w:val="24"/>
        </w:rPr>
        <w:t xml:space="preserve"> (COI)</w:t>
      </w:r>
      <w:r w:rsidR="00E839D2" w:rsidRPr="00E839D2">
        <w:rPr>
          <w:sz w:val="24"/>
          <w:szCs w:val="24"/>
        </w:rPr>
        <w:t xml:space="preserve">, including organizational </w:t>
      </w:r>
      <w:r w:rsidR="00E40083">
        <w:rPr>
          <w:sz w:val="24"/>
          <w:szCs w:val="24"/>
        </w:rPr>
        <w:t>COIs</w:t>
      </w:r>
      <w:r w:rsidR="00E839D2" w:rsidRPr="00E839D2">
        <w:rPr>
          <w:sz w:val="24"/>
          <w:szCs w:val="24"/>
        </w:rPr>
        <w:t xml:space="preserve">, requiring recipients to notify USDA </w:t>
      </w:r>
      <w:r w:rsidR="00E839D2" w:rsidRPr="00E839D2">
        <w:rPr>
          <w:sz w:val="24"/>
          <w:szCs w:val="24"/>
        </w:rPr>
        <w:lastRenderedPageBreak/>
        <w:t>within five calendar days of discovery and submit their proposed approach for resolving the conflict. Section 1.7 further authorizes USDA to review and determine the effectiveness of the recipient’s conflict management approach, prohibits recipients from requesting payment for costs associated with conflicted transactions pending USDA’s determination, and identifies cost disallowance and award termination as potential remedies for failure to disclose.</w:t>
      </w:r>
      <w:r w:rsidR="00DC7FA6">
        <w:rPr>
          <w:sz w:val="24"/>
          <w:szCs w:val="24"/>
        </w:rPr>
        <w:t xml:space="preserve"> </w:t>
      </w:r>
      <w:r w:rsidR="00E839D2" w:rsidRPr="00DC7FA6">
        <w:rPr>
          <w:i/>
          <w:iCs/>
          <w:sz w:val="24"/>
          <w:szCs w:val="24"/>
        </w:rPr>
        <w:t xml:space="preserve">[Note: Unlike the PHS </w:t>
      </w:r>
      <w:proofErr w:type="spellStart"/>
      <w:r w:rsidR="004F0479">
        <w:rPr>
          <w:i/>
          <w:iCs/>
          <w:sz w:val="24"/>
          <w:szCs w:val="24"/>
        </w:rPr>
        <w:t>fCOI</w:t>
      </w:r>
      <w:proofErr w:type="spellEnd"/>
      <w:r w:rsidR="00E839D2" w:rsidRPr="00DC7FA6">
        <w:rPr>
          <w:i/>
          <w:iCs/>
          <w:sz w:val="24"/>
          <w:szCs w:val="24"/>
        </w:rPr>
        <w:t xml:space="preserve"> framework, USDA </w:t>
      </w:r>
      <w:r w:rsidR="006E41B8">
        <w:rPr>
          <w:i/>
          <w:iCs/>
          <w:sz w:val="24"/>
          <w:szCs w:val="24"/>
        </w:rPr>
        <w:t>requirements apply to any COI, including organizational COI</w:t>
      </w:r>
      <w:r w:rsidR="00903FA1">
        <w:rPr>
          <w:i/>
          <w:iCs/>
          <w:sz w:val="24"/>
          <w:szCs w:val="24"/>
        </w:rPr>
        <w:t xml:space="preserve">, </w:t>
      </w:r>
      <w:r w:rsidR="00E839D2" w:rsidRPr="00DC7FA6">
        <w:rPr>
          <w:i/>
          <w:iCs/>
          <w:sz w:val="24"/>
          <w:szCs w:val="24"/>
        </w:rPr>
        <w:t>require agency review and approval of the conflict management approach, impose a five-day disclosure timeline, and prohibit payment requests for conflicted transactions pending USDA’s determination.]</w:t>
      </w:r>
    </w:p>
    <w:p w14:paraId="51D7B732" w14:textId="72158CFE" w:rsidR="003B0875" w:rsidRPr="008F4728" w:rsidRDefault="0055565C" w:rsidP="004F0479">
      <w:pPr>
        <w:pStyle w:val="ListParagraph"/>
        <w:numPr>
          <w:ilvl w:val="0"/>
          <w:numId w:val="3"/>
        </w:numPr>
        <w:spacing w:after="120"/>
        <w:contextualSpacing w:val="0"/>
        <w:rPr>
          <w:b/>
          <w:bCs/>
          <w:sz w:val="24"/>
          <w:szCs w:val="24"/>
        </w:rPr>
      </w:pPr>
      <w:r w:rsidRPr="0055565C">
        <w:rPr>
          <w:b/>
          <w:bCs/>
          <w:sz w:val="24"/>
          <w:szCs w:val="24"/>
        </w:rPr>
        <w:t xml:space="preserve">Records Retention, Access, and Audit Rights (Sections 5, 8, 9) – </w:t>
      </w:r>
      <w:r w:rsidR="000F67C3">
        <w:rPr>
          <w:sz w:val="24"/>
          <w:szCs w:val="24"/>
        </w:rPr>
        <w:t>clarifies and standardizes</w:t>
      </w:r>
      <w:r w:rsidRPr="0055565C">
        <w:rPr>
          <w:sz w:val="24"/>
          <w:szCs w:val="24"/>
        </w:rPr>
        <w:t xml:space="preserve"> USDA’s rights to access, inspect, and audit recipient records, including electronic systems, and clarifies record retention and post-closeout access requirements, representing a more explicit and enforceable framework than many prior </w:t>
      </w:r>
      <w:r w:rsidR="00753E35">
        <w:rPr>
          <w:sz w:val="24"/>
          <w:szCs w:val="24"/>
        </w:rPr>
        <w:t xml:space="preserve">USDA </w:t>
      </w:r>
      <w:r w:rsidRPr="0055565C">
        <w:rPr>
          <w:sz w:val="24"/>
          <w:szCs w:val="24"/>
        </w:rPr>
        <w:t>agency-specific terms.</w:t>
      </w:r>
    </w:p>
    <w:p w14:paraId="453110F5" w14:textId="5D50CA86" w:rsidR="008F4728" w:rsidRDefault="008F4728" w:rsidP="004F0479">
      <w:pPr>
        <w:pStyle w:val="ListParagraph"/>
        <w:numPr>
          <w:ilvl w:val="0"/>
          <w:numId w:val="3"/>
        </w:numPr>
        <w:spacing w:after="120"/>
        <w:contextualSpacing w:val="0"/>
        <w:rPr>
          <w:b/>
          <w:bCs/>
          <w:sz w:val="24"/>
          <w:szCs w:val="24"/>
        </w:rPr>
      </w:pPr>
      <w:r w:rsidRPr="008F4728">
        <w:rPr>
          <w:b/>
          <w:bCs/>
          <w:sz w:val="24"/>
          <w:szCs w:val="24"/>
        </w:rPr>
        <w:t xml:space="preserve">Expanded Flow-Down Requirements (Sections 5, 10) </w:t>
      </w:r>
      <w:r w:rsidRPr="008F4728">
        <w:rPr>
          <w:sz w:val="24"/>
          <w:szCs w:val="24"/>
        </w:rPr>
        <w:t>– requires recipients to flow down applicable USDA compliance, disclosure, and eligibility requirements to subawards and contracts, not solely financial and audit terms, and to actively monitor compliance, representing a broader and more explicit flow-down obligation than many prior USDA agency-specific requirements.</w:t>
      </w:r>
    </w:p>
    <w:p w14:paraId="3FC3C50A" w14:textId="4D690AFF" w:rsidR="00527F58" w:rsidRPr="00527F58" w:rsidRDefault="00527F58" w:rsidP="004F0479">
      <w:pPr>
        <w:pStyle w:val="ListParagraph"/>
        <w:numPr>
          <w:ilvl w:val="0"/>
          <w:numId w:val="3"/>
        </w:numPr>
        <w:spacing w:after="120"/>
        <w:contextualSpacing w:val="0"/>
        <w:rPr>
          <w:b/>
          <w:bCs/>
          <w:sz w:val="24"/>
          <w:szCs w:val="24"/>
        </w:rPr>
      </w:pPr>
      <w:r w:rsidRPr="00527F58">
        <w:rPr>
          <w:b/>
          <w:bCs/>
          <w:sz w:val="24"/>
          <w:szCs w:val="24"/>
        </w:rPr>
        <w:t>Award Termination for Cause, Convenience, and Policy Noncompliance</w:t>
      </w:r>
      <w:r>
        <w:rPr>
          <w:b/>
          <w:bCs/>
          <w:sz w:val="24"/>
          <w:szCs w:val="24"/>
        </w:rPr>
        <w:t xml:space="preserve"> (Section 7) </w:t>
      </w:r>
      <w:r w:rsidRPr="00527F58">
        <w:rPr>
          <w:sz w:val="24"/>
          <w:szCs w:val="24"/>
        </w:rPr>
        <w:t>– establishes department-wide authority to terminate awards for cause, convenience, or based on risk, integrity, or policy concerns</w:t>
      </w:r>
      <w:r w:rsidR="007E0292">
        <w:rPr>
          <w:sz w:val="24"/>
          <w:szCs w:val="24"/>
        </w:rPr>
        <w:t>,</w:t>
      </w:r>
      <w:r w:rsidRPr="00527F58">
        <w:rPr>
          <w:sz w:val="24"/>
          <w:szCs w:val="24"/>
        </w:rPr>
        <w:t xml:space="preserve"> </w:t>
      </w:r>
      <w:r w:rsidR="007A2DAD" w:rsidRPr="007A2DAD">
        <w:rPr>
          <w:sz w:val="24"/>
          <w:szCs w:val="24"/>
        </w:rPr>
        <w:t xml:space="preserve">representing a broader and more explicit enforcement framework than prior agency-specific requirements </w:t>
      </w:r>
      <w:r w:rsidR="00DA37B8">
        <w:rPr>
          <w:sz w:val="24"/>
          <w:szCs w:val="24"/>
        </w:rPr>
        <w:t>which</w:t>
      </w:r>
      <w:r w:rsidRPr="00527F58">
        <w:rPr>
          <w:sz w:val="24"/>
          <w:szCs w:val="24"/>
        </w:rPr>
        <w:t xml:space="preserve"> were primarily focused on performance issues or financial noncompliance.</w:t>
      </w:r>
    </w:p>
    <w:p w14:paraId="4793D88C" w14:textId="28E3F250" w:rsidR="00527F58" w:rsidRPr="00DC39D3" w:rsidRDefault="00527F58" w:rsidP="008E1D5D">
      <w:pPr>
        <w:pStyle w:val="ListParagraph"/>
        <w:numPr>
          <w:ilvl w:val="0"/>
          <w:numId w:val="3"/>
        </w:numPr>
        <w:spacing w:after="120"/>
        <w:contextualSpacing w:val="0"/>
        <w:rPr>
          <w:b/>
          <w:bCs/>
          <w:sz w:val="24"/>
          <w:szCs w:val="24"/>
        </w:rPr>
      </w:pPr>
      <w:r>
        <w:rPr>
          <w:b/>
          <w:bCs/>
          <w:sz w:val="24"/>
          <w:szCs w:val="24"/>
        </w:rPr>
        <w:t xml:space="preserve">Suspension of Payments and Imposition of Special Conditions (Sections 5, 7) </w:t>
      </w:r>
      <w:r>
        <w:rPr>
          <w:sz w:val="24"/>
          <w:szCs w:val="24"/>
        </w:rPr>
        <w:t xml:space="preserve">– establishes </w:t>
      </w:r>
      <w:r w:rsidR="00A50EE2">
        <w:rPr>
          <w:sz w:val="24"/>
          <w:szCs w:val="24"/>
        </w:rPr>
        <w:t>USDA</w:t>
      </w:r>
      <w:r>
        <w:rPr>
          <w:sz w:val="24"/>
          <w:szCs w:val="24"/>
        </w:rPr>
        <w:t>’s authority to suspend payments, impose special conditions, and require corrective actions at any point in an award, not only at renewal or close-out; and requires recipients to maintain effective internal controls</w:t>
      </w:r>
      <w:r w:rsidR="00DC39D3">
        <w:rPr>
          <w:sz w:val="24"/>
          <w:szCs w:val="24"/>
        </w:rPr>
        <w:t xml:space="preserve"> and oversight</w:t>
      </w:r>
      <w:r>
        <w:rPr>
          <w:sz w:val="24"/>
          <w:szCs w:val="24"/>
        </w:rPr>
        <w:t>.</w:t>
      </w:r>
    </w:p>
    <w:p w14:paraId="2ADF2F3F" w14:textId="2838047A" w:rsidR="00DC39D3" w:rsidRPr="00DC39D3" w:rsidRDefault="00DC39D3" w:rsidP="008E1D5D">
      <w:pPr>
        <w:pStyle w:val="ListParagraph"/>
        <w:numPr>
          <w:ilvl w:val="0"/>
          <w:numId w:val="3"/>
        </w:numPr>
        <w:spacing w:after="120"/>
        <w:contextualSpacing w:val="0"/>
        <w:rPr>
          <w:b/>
          <w:bCs/>
          <w:sz w:val="24"/>
          <w:szCs w:val="24"/>
        </w:rPr>
      </w:pPr>
      <w:r>
        <w:rPr>
          <w:b/>
          <w:bCs/>
          <w:sz w:val="24"/>
          <w:szCs w:val="24"/>
        </w:rPr>
        <w:t>Remedies Tied to Disclosure and Information Integrity Failures (Sections 7, 10</w:t>
      </w:r>
      <w:r w:rsidRPr="00DC39D3">
        <w:rPr>
          <w:sz w:val="24"/>
          <w:szCs w:val="24"/>
        </w:rPr>
        <w:t>.</w:t>
      </w:r>
      <w:r w:rsidRPr="00DC39D3">
        <w:rPr>
          <w:b/>
          <w:bCs/>
          <w:sz w:val="24"/>
          <w:szCs w:val="24"/>
        </w:rPr>
        <w:t>10)</w:t>
      </w:r>
      <w:r>
        <w:rPr>
          <w:sz w:val="24"/>
          <w:szCs w:val="24"/>
        </w:rPr>
        <w:t xml:space="preserve"> – connects disclosure failures to termination and other remedies, while prior agency-specific terms often treated disclosure errors as correctable administrative issues.</w:t>
      </w:r>
    </w:p>
    <w:p w14:paraId="7BAE9EFB" w14:textId="2CF8F47D" w:rsidR="00DC39D3" w:rsidRPr="00527F58" w:rsidRDefault="00DC39D3" w:rsidP="00527F58">
      <w:pPr>
        <w:pStyle w:val="ListParagraph"/>
        <w:numPr>
          <w:ilvl w:val="0"/>
          <w:numId w:val="3"/>
        </w:numPr>
        <w:rPr>
          <w:b/>
          <w:bCs/>
          <w:sz w:val="24"/>
          <w:szCs w:val="24"/>
        </w:rPr>
      </w:pPr>
      <w:r>
        <w:rPr>
          <w:b/>
          <w:bCs/>
          <w:sz w:val="24"/>
          <w:szCs w:val="24"/>
        </w:rPr>
        <w:t xml:space="preserve">Subrecipient/Contractor Noncompliance (Sections 5, 7, 10) </w:t>
      </w:r>
      <w:r>
        <w:rPr>
          <w:sz w:val="24"/>
          <w:szCs w:val="24"/>
        </w:rPr>
        <w:t>– establishes prime award recipient responsibility for downstream noncompliance and establishes remedies when prime recipients fail to sufficiently monitor and for ongoing downstream violations.</w:t>
      </w:r>
    </w:p>
    <w:sectPr w:rsidR="00DC39D3" w:rsidRPr="00527F58" w:rsidSect="005571A1">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5694" w14:textId="77777777" w:rsidR="00F90CFA" w:rsidRDefault="00F90CFA" w:rsidP="0059710A">
      <w:pPr>
        <w:spacing w:after="0" w:line="240" w:lineRule="auto"/>
      </w:pPr>
      <w:r>
        <w:separator/>
      </w:r>
    </w:p>
  </w:endnote>
  <w:endnote w:type="continuationSeparator" w:id="0">
    <w:p w14:paraId="1AD1A7D9" w14:textId="77777777" w:rsidR="00F90CFA" w:rsidRDefault="00F90CFA" w:rsidP="00597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613C33" w14:paraId="0D18DAB9" w14:textId="77777777" w:rsidTr="7A613C33">
      <w:trPr>
        <w:trHeight w:val="300"/>
      </w:trPr>
      <w:tc>
        <w:tcPr>
          <w:tcW w:w="3120" w:type="dxa"/>
        </w:tcPr>
        <w:p w14:paraId="3D63D3EB" w14:textId="742CD388" w:rsidR="7A613C33" w:rsidRDefault="7A613C33" w:rsidP="7A613C33">
          <w:pPr>
            <w:pStyle w:val="Header"/>
            <w:ind w:left="-115"/>
          </w:pPr>
        </w:p>
      </w:tc>
      <w:tc>
        <w:tcPr>
          <w:tcW w:w="3120" w:type="dxa"/>
        </w:tcPr>
        <w:p w14:paraId="45676411" w14:textId="010C1EFB" w:rsidR="7A613C33" w:rsidRDefault="7A613C33" w:rsidP="7A613C33">
          <w:pPr>
            <w:pStyle w:val="Header"/>
            <w:jc w:val="center"/>
          </w:pPr>
        </w:p>
      </w:tc>
      <w:tc>
        <w:tcPr>
          <w:tcW w:w="3120" w:type="dxa"/>
        </w:tcPr>
        <w:p w14:paraId="68787E79" w14:textId="4E306FE8" w:rsidR="7A613C33" w:rsidRDefault="7A613C33" w:rsidP="7A613C33">
          <w:pPr>
            <w:pStyle w:val="Header"/>
            <w:ind w:right="-115"/>
            <w:jc w:val="right"/>
          </w:pPr>
        </w:p>
      </w:tc>
    </w:tr>
  </w:tbl>
  <w:p w14:paraId="6B7AD4B4" w14:textId="2FBC7993" w:rsidR="7A613C33" w:rsidRDefault="7A613C33" w:rsidP="7A613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BDA96" w14:textId="77777777" w:rsidR="00F90CFA" w:rsidRDefault="00F90CFA" w:rsidP="0059710A">
      <w:pPr>
        <w:spacing w:after="0" w:line="240" w:lineRule="auto"/>
      </w:pPr>
      <w:r>
        <w:separator/>
      </w:r>
    </w:p>
  </w:footnote>
  <w:footnote w:type="continuationSeparator" w:id="0">
    <w:p w14:paraId="3F8281DF" w14:textId="77777777" w:rsidR="00F90CFA" w:rsidRDefault="00F90CFA" w:rsidP="00597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5F4C" w14:textId="24E4ABF5" w:rsidR="004038EE" w:rsidRDefault="004038EE">
    <w:pPr>
      <w:pStyle w:val="Header"/>
    </w:pPr>
    <w:r>
      <w:rPr>
        <w:noProof/>
      </w:rPr>
      <w:drawing>
        <wp:anchor distT="0" distB="0" distL="114300" distR="114300" simplePos="0" relativeHeight="251658240" behindDoc="1" locked="0" layoutInCell="1" allowOverlap="1" wp14:anchorId="73A58E92" wp14:editId="54D8304A">
          <wp:simplePos x="0" y="0"/>
          <wp:positionH relativeFrom="margin">
            <wp:align>center</wp:align>
          </wp:positionH>
          <wp:positionV relativeFrom="paragraph">
            <wp:posOffset>-165735</wp:posOffset>
          </wp:positionV>
          <wp:extent cx="7092315" cy="1018540"/>
          <wp:effectExtent l="0" t="0" r="0" b="0"/>
          <wp:wrapTight wrapText="bothSides">
            <wp:wrapPolygon edited="0">
              <wp:start x="0" y="0"/>
              <wp:lineTo x="0" y="21007"/>
              <wp:lineTo x="21525" y="21007"/>
              <wp:lineTo x="21525" y="0"/>
              <wp:lineTo x="0" y="0"/>
            </wp:wrapPolygon>
          </wp:wrapTight>
          <wp:docPr id="2039136030" name="Picture 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136030"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92315" cy="1018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07F1"/>
    <w:multiLevelType w:val="hybridMultilevel"/>
    <w:tmpl w:val="B080D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C0513"/>
    <w:multiLevelType w:val="hybridMultilevel"/>
    <w:tmpl w:val="C832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552D4"/>
    <w:multiLevelType w:val="hybridMultilevel"/>
    <w:tmpl w:val="8050E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901600">
    <w:abstractNumId w:val="1"/>
  </w:num>
  <w:num w:numId="2" w16cid:durableId="2094426520">
    <w:abstractNumId w:val="2"/>
  </w:num>
  <w:num w:numId="3" w16cid:durableId="209724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0A"/>
    <w:rsid w:val="000566F9"/>
    <w:rsid w:val="00056AAE"/>
    <w:rsid w:val="000D2193"/>
    <w:rsid w:val="000F67C3"/>
    <w:rsid w:val="00115F19"/>
    <w:rsid w:val="001A1FA0"/>
    <w:rsid w:val="001B73B1"/>
    <w:rsid w:val="00201715"/>
    <w:rsid w:val="00225192"/>
    <w:rsid w:val="002B733D"/>
    <w:rsid w:val="00335D08"/>
    <w:rsid w:val="003532C3"/>
    <w:rsid w:val="00372F9A"/>
    <w:rsid w:val="003B0875"/>
    <w:rsid w:val="003E3D38"/>
    <w:rsid w:val="004038EE"/>
    <w:rsid w:val="00486E2B"/>
    <w:rsid w:val="004F0479"/>
    <w:rsid w:val="00527F58"/>
    <w:rsid w:val="0055565C"/>
    <w:rsid w:val="005571A1"/>
    <w:rsid w:val="0059710A"/>
    <w:rsid w:val="005F6B71"/>
    <w:rsid w:val="0060302D"/>
    <w:rsid w:val="006A18C0"/>
    <w:rsid w:val="006A24AA"/>
    <w:rsid w:val="006E41B8"/>
    <w:rsid w:val="006F127A"/>
    <w:rsid w:val="00753E35"/>
    <w:rsid w:val="007A2DAD"/>
    <w:rsid w:val="007C3A18"/>
    <w:rsid w:val="007E0292"/>
    <w:rsid w:val="007E36F3"/>
    <w:rsid w:val="007F3434"/>
    <w:rsid w:val="0083725E"/>
    <w:rsid w:val="00886624"/>
    <w:rsid w:val="00893B63"/>
    <w:rsid w:val="008D2754"/>
    <w:rsid w:val="008E1D5D"/>
    <w:rsid w:val="008F4728"/>
    <w:rsid w:val="00903FA1"/>
    <w:rsid w:val="00927C35"/>
    <w:rsid w:val="009636E6"/>
    <w:rsid w:val="009C5565"/>
    <w:rsid w:val="009D5DE1"/>
    <w:rsid w:val="00A32F0E"/>
    <w:rsid w:val="00A50EE2"/>
    <w:rsid w:val="00A56D1D"/>
    <w:rsid w:val="00A61346"/>
    <w:rsid w:val="00B02246"/>
    <w:rsid w:val="00BA798B"/>
    <w:rsid w:val="00BA7AFD"/>
    <w:rsid w:val="00BC02BB"/>
    <w:rsid w:val="00C0431A"/>
    <w:rsid w:val="00C745DD"/>
    <w:rsid w:val="00CC1769"/>
    <w:rsid w:val="00CE2557"/>
    <w:rsid w:val="00D46617"/>
    <w:rsid w:val="00D51FA3"/>
    <w:rsid w:val="00D5607A"/>
    <w:rsid w:val="00D63BBE"/>
    <w:rsid w:val="00D63D58"/>
    <w:rsid w:val="00DA37B8"/>
    <w:rsid w:val="00DC39D3"/>
    <w:rsid w:val="00DC7FA6"/>
    <w:rsid w:val="00E20D0E"/>
    <w:rsid w:val="00E32D95"/>
    <w:rsid w:val="00E40083"/>
    <w:rsid w:val="00E41CD6"/>
    <w:rsid w:val="00E839D2"/>
    <w:rsid w:val="00EB33EA"/>
    <w:rsid w:val="00EB4E8F"/>
    <w:rsid w:val="00EE7AAA"/>
    <w:rsid w:val="00EF1058"/>
    <w:rsid w:val="00F006C4"/>
    <w:rsid w:val="00F510CE"/>
    <w:rsid w:val="00F90CFA"/>
    <w:rsid w:val="00FA79B1"/>
    <w:rsid w:val="00FB0BF7"/>
    <w:rsid w:val="00FB72ED"/>
    <w:rsid w:val="7A61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3FECB"/>
  <w15:chartTrackingRefBased/>
  <w15:docId w15:val="{242DDB7A-5C3E-4759-8C60-9CC37448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10A"/>
  </w:style>
  <w:style w:type="paragraph" w:styleId="Footer">
    <w:name w:val="footer"/>
    <w:basedOn w:val="Normal"/>
    <w:link w:val="FooterChar"/>
    <w:uiPriority w:val="99"/>
    <w:unhideWhenUsed/>
    <w:rsid w:val="00597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10A"/>
  </w:style>
  <w:style w:type="character" w:styleId="Hyperlink">
    <w:name w:val="Hyperlink"/>
    <w:basedOn w:val="DefaultParagraphFont"/>
    <w:uiPriority w:val="99"/>
    <w:unhideWhenUsed/>
    <w:rsid w:val="00F510CE"/>
    <w:rPr>
      <w:color w:val="0563C1" w:themeColor="hyperlink"/>
      <w:u w:val="single"/>
    </w:rPr>
  </w:style>
  <w:style w:type="character" w:styleId="UnresolvedMention">
    <w:name w:val="Unresolved Mention"/>
    <w:basedOn w:val="DefaultParagraphFont"/>
    <w:uiPriority w:val="99"/>
    <w:semiHidden/>
    <w:unhideWhenUsed/>
    <w:rsid w:val="00F510C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B72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sda.gov/about-usda/general-information/staff-offices/office-chief-financial-officer/federal-financial-assistance-policy/national-security-and-unallowable-co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sda.gov/about-usda/general-information/staff-offices/office-chief-financial-officer/federal-financial-assistance-policy/usda-general-terms-and-condi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da.gov/sites/default/files/documents/sm-1078-021.pdf" TargetMode="External"/><Relationship Id="rId5" Type="http://schemas.openxmlformats.org/officeDocument/2006/relationships/styles" Target="styles.xml"/><Relationship Id="rId15" Type="http://schemas.openxmlformats.org/officeDocument/2006/relationships/hyperlink" Target="https://aspr.hhs.gov/S3/Pages/Enhanced-Potential-Pandemic-Pathogen-Oversight-Framework.aspx" TargetMode="External"/><Relationship Id="rId10" Type="http://schemas.openxmlformats.org/officeDocument/2006/relationships/hyperlink" Target="https://www.usda.gov/about-usda/news/press-releases/2025/12/31/usda-strengthens-national-security-and-protects-taxpayers-standardizing-grant-and-cooperativ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pr.hhs.gov/S3/Documents/durc-polic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c87b48-00f9-4807-8e2f-1d1fb7006203" xsi:nil="true"/>
    <lcf76f155ced4ddcb4097134ff3c332f xmlns="af6e52de-401e-4434-adf6-ad33556a1f8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D50FCA3AF3E04681FB427365166B8A" ma:contentTypeVersion="18" ma:contentTypeDescription="Create a new document." ma:contentTypeScope="" ma:versionID="0719d087eecf5da8051320ed798d24f3">
  <xsd:schema xmlns:xsd="http://www.w3.org/2001/XMLSchema" xmlns:xs="http://www.w3.org/2001/XMLSchema" xmlns:p="http://schemas.microsoft.com/office/2006/metadata/properties" xmlns:ns2="af6e52de-401e-4434-adf6-ad33556a1f82" xmlns:ns3="47c87b48-00f9-4807-8e2f-1d1fb7006203" targetNamespace="http://schemas.microsoft.com/office/2006/metadata/properties" ma:root="true" ma:fieldsID="11550eda69e9b05720daeab4ea4887e7" ns2:_="" ns3:_="">
    <xsd:import namespace="af6e52de-401e-4434-adf6-ad33556a1f82"/>
    <xsd:import namespace="47c87b48-00f9-4807-8e2f-1d1fb70062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e52de-401e-4434-adf6-ad33556a1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ac848-5671-4f17-b1d2-0847cf99bc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c87b48-00f9-4807-8e2f-1d1fb70062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7a0aed-275e-4bca-88e1-5b6a50cb00f9}" ma:internalName="TaxCatchAll" ma:showField="CatchAllData" ma:web="47c87b48-00f9-4807-8e2f-1d1fb7006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522F8-73D5-44F4-81FC-1611A087C385}">
  <ds:schemaRefs>
    <ds:schemaRef ds:uri="http://schemas.microsoft.com/office/2006/metadata/properties"/>
    <ds:schemaRef ds:uri="http://schemas.microsoft.com/office/infopath/2007/PartnerControls"/>
    <ds:schemaRef ds:uri="47c87b48-00f9-4807-8e2f-1d1fb7006203"/>
    <ds:schemaRef ds:uri="af6e52de-401e-4434-adf6-ad33556a1f82"/>
  </ds:schemaRefs>
</ds:datastoreItem>
</file>

<file path=customXml/itemProps2.xml><?xml version="1.0" encoding="utf-8"?>
<ds:datastoreItem xmlns:ds="http://schemas.openxmlformats.org/officeDocument/2006/customXml" ds:itemID="{5FED1F7C-FFBD-4E91-95BF-053E2E913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e52de-401e-4434-adf6-ad33556a1f82"/>
    <ds:schemaRef ds:uri="47c87b48-00f9-4807-8e2f-1d1fb7006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35091-3009-45A9-A172-D9C46616B7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6743</Characters>
  <Application>Microsoft Office Word</Application>
  <DocSecurity>0</DocSecurity>
  <Lines>101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Christianson</dc:creator>
  <cp:keywords/>
  <dc:description/>
  <cp:lastModifiedBy>Brian Flint</cp:lastModifiedBy>
  <cp:revision>2</cp:revision>
  <dcterms:created xsi:type="dcterms:W3CDTF">2026-01-15T01:34:00Z</dcterms:created>
  <dcterms:modified xsi:type="dcterms:W3CDTF">2026-01-15T01:34:00Z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0x0101009CD50FCA3AF3E04681FB427365166B8A</vt:lpwstr>
  </property>
  <property fmtid="{D5CDD505-2E9C-101B-9397-08002B2CF9AE}" pid="3" name="MediaServiceImageTags">
    <vt:lpwstr/>
  </property>
</Properties>
</file>